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C8" w:rsidRPr="004F4CEF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 wp14:anchorId="44170CA1" wp14:editId="434C5A26">
            <wp:extent cx="516890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B26" w:rsidRPr="003D3395" w:rsidRDefault="00CE7B26" w:rsidP="00CE7B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7B26" w:rsidRPr="003D3395" w:rsidRDefault="00CE7B26" w:rsidP="00CE7B26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E7B26" w:rsidRPr="008B1508" w:rsidRDefault="007476C8" w:rsidP="00CE7B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CE7B26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E7B26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      с. </w:t>
      </w:r>
      <w:r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Мурино</w:t>
      </w:r>
      <w:r w:rsidR="00CE7B26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№ </w:t>
      </w:r>
      <w:r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CE7B26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715F6D" w:rsidRPr="005E6B65" w:rsidRDefault="00715F6D" w:rsidP="005E6B65">
      <w:pPr>
        <w:pStyle w:val="a3"/>
        <w:spacing w:before="0" w:beforeAutospacing="0" w:after="0" w:afterAutospacing="0"/>
        <w:jc w:val="both"/>
        <w:rPr>
          <w:szCs w:val="28"/>
        </w:rPr>
      </w:pPr>
      <w:r w:rsidRPr="00AD3812">
        <w:rPr>
          <w:b/>
          <w:bCs/>
          <w:sz w:val="28"/>
          <w:szCs w:val="28"/>
        </w:rPr>
        <w:br/>
      </w:r>
    </w:p>
    <w:p w:rsidR="000F5242" w:rsidRPr="00C1246D" w:rsidRDefault="000F5242" w:rsidP="000F5242">
      <w:pPr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b/>
          <w:color w:val="000000"/>
        </w:rPr>
      </w:pP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0F5242" w:rsidTr="0080063F">
        <w:trPr>
          <w:cantSplit/>
          <w:trHeight w:val="109"/>
        </w:trPr>
        <w:tc>
          <w:tcPr>
            <w:tcW w:w="9262" w:type="dxa"/>
          </w:tcPr>
          <w:p w:rsidR="000F5242" w:rsidRPr="008B1508" w:rsidRDefault="000F5242" w:rsidP="008B1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ведения реестра муниципального</w:t>
            </w:r>
            <w:r w:rsidR="008B1508"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имущества муниципального образования </w:t>
            </w:r>
            <w:r w:rsidR="008B1508"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Муринский сельсовет  Курагинского </w:t>
            </w:r>
            <w:r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</w:t>
            </w:r>
            <w:r w:rsidR="008B1508"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0F5242" w:rsidTr="0080063F">
        <w:trPr>
          <w:cantSplit/>
          <w:trHeight w:val="112"/>
        </w:trPr>
        <w:tc>
          <w:tcPr>
            <w:tcW w:w="227" w:type="dxa"/>
          </w:tcPr>
          <w:p w:rsidR="000F5242" w:rsidRDefault="000F5242" w:rsidP="0080063F">
            <w:pPr>
              <w:pStyle w:val="1"/>
            </w:pPr>
          </w:p>
        </w:tc>
        <w:tc>
          <w:tcPr>
            <w:tcW w:w="277" w:type="dxa"/>
          </w:tcPr>
          <w:p w:rsidR="000F5242" w:rsidRDefault="000F5242" w:rsidP="0080063F">
            <w:pPr>
              <w:pStyle w:val="1"/>
              <w:rPr>
                <w:b w:val="0"/>
                <w:bCs w:val="0"/>
              </w:rPr>
            </w:pPr>
          </w:p>
        </w:tc>
      </w:tr>
    </w:tbl>
    <w:p w:rsidR="000F5242" w:rsidRPr="008B1508" w:rsidRDefault="000F5242" w:rsidP="000F5242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F5242" w:rsidRPr="008B1508" w:rsidRDefault="000F5242" w:rsidP="000F5242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1508"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 w:rsidRPr="008B15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</w:t>
      </w:r>
      <w:r w:rsidR="008B1508" w:rsidRPr="008B1508">
        <w:rPr>
          <w:rFonts w:ascii="Times New Roman" w:hAnsi="Times New Roman" w:cs="Times New Roman"/>
          <w:sz w:val="28"/>
          <w:szCs w:val="28"/>
        </w:rPr>
        <w:t xml:space="preserve"> руководствуясь статей 7 Устава Муринского</w:t>
      </w:r>
      <w:r w:rsidRPr="008B150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1508" w:rsidRPr="008B1508">
        <w:rPr>
          <w:rFonts w:ascii="Times New Roman" w:hAnsi="Times New Roman" w:cs="Times New Roman"/>
          <w:sz w:val="28"/>
          <w:szCs w:val="28"/>
        </w:rPr>
        <w:t>а</w:t>
      </w:r>
      <w:r w:rsidR="008B1508">
        <w:rPr>
          <w:rFonts w:ascii="Times New Roman" w:hAnsi="Times New Roman" w:cs="Times New Roman"/>
          <w:sz w:val="28"/>
          <w:szCs w:val="28"/>
        </w:rPr>
        <w:t xml:space="preserve">, </w:t>
      </w:r>
      <w:r w:rsidR="008B1508" w:rsidRPr="008B150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B1508">
        <w:rPr>
          <w:rFonts w:ascii="Times New Roman" w:hAnsi="Times New Roman" w:cs="Times New Roman"/>
          <w:sz w:val="28"/>
          <w:szCs w:val="28"/>
        </w:rPr>
        <w:t>:</w:t>
      </w:r>
    </w:p>
    <w:p w:rsidR="000F5242" w:rsidRDefault="000F5242" w:rsidP="000F524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1508">
        <w:rPr>
          <w:rFonts w:ascii="Times New Roman" w:hAnsi="Times New Roman" w:cs="Times New Roman"/>
          <w:sz w:val="28"/>
          <w:szCs w:val="28"/>
        </w:rPr>
        <w:t xml:space="preserve">1. Принять Положение «О порядке ведения реестра муниципального имущества муниципального образования  </w:t>
      </w:r>
      <w:r w:rsidR="008B1508" w:rsidRPr="008B1508">
        <w:rPr>
          <w:rFonts w:ascii="Times New Roman" w:hAnsi="Times New Roman" w:cs="Times New Roman"/>
          <w:sz w:val="28"/>
          <w:szCs w:val="28"/>
        </w:rPr>
        <w:t>Муринский</w:t>
      </w:r>
      <w:r w:rsidRPr="008B1508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="008B1508" w:rsidRPr="008B1508">
        <w:rPr>
          <w:rFonts w:ascii="Times New Roman" w:hAnsi="Times New Roman" w:cs="Times New Roman"/>
          <w:sz w:val="28"/>
          <w:szCs w:val="28"/>
        </w:rPr>
        <w:t>Курагинского района Красноярского края</w:t>
      </w:r>
      <w:r w:rsidRPr="008B1508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067447" w:rsidRDefault="00067447" w:rsidP="000F524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формы разделов  для ведения</w:t>
      </w:r>
      <w:r w:rsidRPr="00067447">
        <w:rPr>
          <w:rFonts w:ascii="Times New Roman" w:hAnsi="Times New Roman" w:cs="Times New Roman"/>
          <w:sz w:val="28"/>
          <w:szCs w:val="28"/>
        </w:rPr>
        <w:t xml:space="preserve"> </w:t>
      </w:r>
      <w:r w:rsidRPr="008B1508">
        <w:rPr>
          <w:rFonts w:ascii="Times New Roman" w:hAnsi="Times New Roman" w:cs="Times New Roman"/>
          <w:sz w:val="28"/>
          <w:szCs w:val="28"/>
        </w:rPr>
        <w:t>реестра муниципального имущества муниципального образования  Муринский сельсовет  Курагинского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2):</w:t>
      </w:r>
    </w:p>
    <w:p w:rsid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Cs/>
          <w:sz w:val="28"/>
          <w:szCs w:val="28"/>
          <w:lang w:eastAsia="zh-CN" w:bidi="hi-IN"/>
        </w:rPr>
        <w:t>раздел</w:t>
      </w:r>
      <w:r w:rsidRPr="00067447">
        <w:rPr>
          <w:rFonts w:ascii="Times New Roman" w:eastAsia="Liberation Mono" w:hAnsi="Times New Roman" w:cs="Liberation Mono"/>
          <w:bCs/>
          <w:sz w:val="28"/>
          <w:szCs w:val="28"/>
          <w:lang w:eastAsia="zh-CN" w:bidi="hi-IN"/>
        </w:rPr>
        <w:t xml:space="preserve"> </w:t>
      </w:r>
      <w:r w:rsidRPr="00067447">
        <w:rPr>
          <w:rFonts w:ascii="Times New Roman" w:eastAsia="Liberation Mono" w:hAnsi="Times New Roman" w:cs="Liberation Mono"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- </w:t>
      </w:r>
      <w:r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муниципальном недвижимом имуществе;</w:t>
      </w:r>
    </w:p>
    <w:p w:rsid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раздел 2  - сведения о муниципальном движимом имуществе;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раздел 3 – сведения о лицах, обладающих правами муниципального имущества</w:t>
      </w:r>
    </w:p>
    <w:p w:rsidR="000F5242" w:rsidRPr="008B1508" w:rsidRDefault="00067447" w:rsidP="000F524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242" w:rsidRPr="008B15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5242" w:rsidRPr="008B15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5242" w:rsidRPr="008B15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5242" w:rsidRPr="008B1508" w:rsidRDefault="00067447" w:rsidP="000F524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242" w:rsidRPr="008B150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в газете «</w:t>
      </w:r>
      <w:r w:rsidR="008B1508" w:rsidRPr="008B1508">
        <w:rPr>
          <w:rFonts w:ascii="Times New Roman" w:hAnsi="Times New Roman" w:cs="Times New Roman"/>
          <w:sz w:val="28"/>
          <w:szCs w:val="28"/>
        </w:rPr>
        <w:t>Муринский</w:t>
      </w:r>
      <w:r w:rsidR="000F5242" w:rsidRPr="008B1508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администрации.</w:t>
      </w:r>
    </w:p>
    <w:p w:rsidR="000F5242" w:rsidRPr="008B1508" w:rsidRDefault="008B1508" w:rsidP="008B1508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B1508">
        <w:rPr>
          <w:rFonts w:ascii="Times New Roman" w:hAnsi="Times New Roman" w:cs="Times New Roman"/>
          <w:bCs/>
          <w:sz w:val="28"/>
          <w:szCs w:val="28"/>
        </w:rPr>
        <w:t>Глава Муринского сельсовета                                          Е.В. Вазисова</w:t>
      </w:r>
    </w:p>
    <w:p w:rsidR="000F5242" w:rsidRDefault="000F5242" w:rsidP="000F52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F5242" w:rsidRDefault="000F5242" w:rsidP="000F52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F5242" w:rsidRDefault="000F5242" w:rsidP="000F52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F5242" w:rsidRPr="002C27E7" w:rsidRDefault="000F5242" w:rsidP="002C27E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7E7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0F5242" w:rsidRPr="002C27E7" w:rsidRDefault="000F5242" w:rsidP="002C27E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7E7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F5242" w:rsidRPr="002C27E7" w:rsidRDefault="000F5242" w:rsidP="002C27E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7E7">
        <w:rPr>
          <w:rFonts w:ascii="Times New Roman" w:hAnsi="Times New Roman" w:cs="Times New Roman"/>
          <w:bCs/>
          <w:sz w:val="24"/>
          <w:szCs w:val="24"/>
        </w:rPr>
        <w:t xml:space="preserve"> МО </w:t>
      </w:r>
      <w:r w:rsidR="008B1508" w:rsidRPr="002C27E7">
        <w:rPr>
          <w:rFonts w:ascii="Times New Roman" w:hAnsi="Times New Roman" w:cs="Times New Roman"/>
          <w:bCs/>
          <w:sz w:val="24"/>
          <w:szCs w:val="24"/>
        </w:rPr>
        <w:t>Муринский</w:t>
      </w:r>
      <w:r w:rsidRPr="002C27E7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</w:p>
    <w:p w:rsidR="000F5242" w:rsidRPr="002C27E7" w:rsidRDefault="000F5242" w:rsidP="002C27E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7E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B1508" w:rsidRPr="002C27E7">
        <w:rPr>
          <w:rFonts w:ascii="Times New Roman" w:hAnsi="Times New Roman" w:cs="Times New Roman"/>
          <w:bCs/>
          <w:sz w:val="24"/>
          <w:szCs w:val="24"/>
        </w:rPr>
        <w:t>00</w:t>
      </w:r>
      <w:r w:rsidRPr="002C27E7">
        <w:rPr>
          <w:rFonts w:ascii="Times New Roman" w:hAnsi="Times New Roman" w:cs="Times New Roman"/>
          <w:bCs/>
          <w:sz w:val="24"/>
          <w:szCs w:val="24"/>
        </w:rPr>
        <w:t>.0</w:t>
      </w:r>
      <w:r w:rsidR="008B1508" w:rsidRPr="002C27E7">
        <w:rPr>
          <w:rFonts w:ascii="Times New Roman" w:hAnsi="Times New Roman" w:cs="Times New Roman"/>
          <w:bCs/>
          <w:sz w:val="24"/>
          <w:szCs w:val="24"/>
        </w:rPr>
        <w:t>0</w:t>
      </w:r>
      <w:r w:rsidRPr="002C27E7">
        <w:rPr>
          <w:rFonts w:ascii="Times New Roman" w:hAnsi="Times New Roman" w:cs="Times New Roman"/>
          <w:bCs/>
          <w:sz w:val="24"/>
          <w:szCs w:val="24"/>
        </w:rPr>
        <w:t xml:space="preserve">.2024 № </w:t>
      </w:r>
      <w:r w:rsidR="008B1508" w:rsidRPr="002C27E7">
        <w:rPr>
          <w:rFonts w:ascii="Times New Roman" w:hAnsi="Times New Roman" w:cs="Times New Roman"/>
          <w:bCs/>
          <w:sz w:val="24"/>
          <w:szCs w:val="24"/>
        </w:rPr>
        <w:t>00</w:t>
      </w:r>
      <w:r w:rsidRPr="002C27E7">
        <w:rPr>
          <w:rFonts w:ascii="Times New Roman" w:hAnsi="Times New Roman" w:cs="Times New Roman"/>
          <w:bCs/>
          <w:sz w:val="24"/>
          <w:szCs w:val="24"/>
        </w:rPr>
        <w:t>-п</w:t>
      </w:r>
    </w:p>
    <w:p w:rsidR="000F5242" w:rsidRPr="003D4297" w:rsidRDefault="000F5242" w:rsidP="000F5242">
      <w:pPr>
        <w:jc w:val="right"/>
        <w:outlineLvl w:val="2"/>
        <w:rPr>
          <w:bCs/>
          <w:sz w:val="28"/>
          <w:szCs w:val="28"/>
        </w:rPr>
      </w:pPr>
    </w:p>
    <w:p w:rsidR="000F5242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0F5242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8" w:anchor="11000" w:history="1">
        <w:r w:rsidRPr="002C27E7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приложении</w:t>
        </w:r>
      </w:hyperlink>
      <w:r w:rsidR="002C27E7" w:rsidRPr="002C27E7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 1</w:t>
      </w:r>
      <w:r w:rsidRPr="002C27E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II. Состав сведений, подлежащих отражению в реестре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основных характеристиках судна, в том числе: год и место постройки судна, инвентарный номер, серийный (заводской) номер,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идентификационный номер судна и место строительства (для строящихся судов);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III. Порядок учета муниципального имущества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9" w:anchor="1017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0" w:anchor="1018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11" w:anchor="1015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2" w:anchor="1223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дополнительными документами, подтверждающими недостающие в реестре сведения).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3" w:anchor="1015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IV. Предоставление информации из реестра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4" w:anchor="1112" w:history="1">
        <w:r>
          <w:rPr>
            <w:rStyle w:val="a7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5" w:anchor="1029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</w:t>
      </w:r>
      <w:r w:rsidR="0021082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дминистративным делам, а также иным определенным федеральными законами и правовыми актами органов местного самоуправления органам, организациям правообладателям в отношении принадлежащего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им муниципального имущества.</w:t>
      </w: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C27E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067447">
        <w:rPr>
          <w:rFonts w:ascii="Times New Roman" w:hAnsi="Times New Roman" w:cs="Times New Roman"/>
          <w:sz w:val="20"/>
          <w:szCs w:val="20"/>
          <w:lang w:eastAsia="ru-RU"/>
        </w:rPr>
        <w:t xml:space="preserve"> № 1 </w:t>
      </w:r>
      <w:r w:rsidRPr="002C27E7">
        <w:rPr>
          <w:rFonts w:ascii="Times New Roman" w:hAnsi="Times New Roman" w:cs="Times New Roman"/>
          <w:sz w:val="20"/>
          <w:szCs w:val="20"/>
          <w:lang w:eastAsia="ru-RU"/>
        </w:rPr>
        <w:t xml:space="preserve"> к порядку</w:t>
      </w: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 w:rsidRPr="002C27E7"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из реестра муниципального имущества об объекте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   учета муниципального имущества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Pr="002C27E7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2C27E7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(при наличии) физического лица)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1. Сведения об объекте муниципального имущества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408"/>
        <w:gridCol w:w="250"/>
        <w:gridCol w:w="3360"/>
        <w:gridCol w:w="955"/>
        <w:gridCol w:w="4330"/>
        <w:gridCol w:w="50"/>
      </w:tblGrid>
      <w:tr w:rsidR="000F5242" w:rsidRPr="002C27E7" w:rsidTr="0080063F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F5242" w:rsidRPr="002C27E7" w:rsidTr="0080063F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0F5242" w:rsidRPr="002C27E7" w:rsidTr="0080063F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42" w:rsidRPr="002C27E7" w:rsidTr="0080063F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2" w:rsidRPr="002C27E7" w:rsidTr="0080063F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42" w:rsidRPr="002C27E7" w:rsidTr="0080063F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2" w:rsidRPr="002C27E7" w:rsidTr="0080063F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2" w:rsidRPr="002C27E7" w:rsidTr="0080063F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0F5242" w:rsidRPr="002C27E7" w:rsidTr="0080063F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5242" w:rsidRPr="002C27E7" w:rsidTr="0080063F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0F5242" w:rsidRPr="002C27E7" w:rsidTr="0080063F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242" w:rsidRPr="002C27E7" w:rsidTr="0080063F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F5242" w:rsidRPr="002C27E7" w:rsidTr="0080063F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F5242" w:rsidRPr="002C27E7" w:rsidTr="0080063F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F5242" w:rsidRPr="002C27E7" w:rsidTr="0080063F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42" w:rsidRPr="002C27E7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0F5242" w:rsidRPr="002C27E7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27E7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2C27E7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0F5242" w:rsidRPr="002C27E7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:rsidR="00715F6D" w:rsidRDefault="00715F6D" w:rsidP="005E6B65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p w:rsidR="00067447" w:rsidRDefault="00067447" w:rsidP="005E6B65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Liberation Mono"/>
          <w:bCs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Cs/>
          <w:sz w:val="20"/>
          <w:szCs w:val="20"/>
          <w:lang w:eastAsia="zh-CN" w:bidi="hi-IN"/>
        </w:rPr>
        <w:lastRenderedPageBreak/>
        <w:t>Приложение № 2 к порядку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Liberation Mono"/>
          <w:b/>
          <w:bCs/>
          <w:sz w:val="20"/>
          <w:szCs w:val="20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МУНИЦИПАЛЬНОМ НЕДВИЖИМОМ ИМУЩЕСТВЕ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b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МУНИЦИПАЛЬНОГО ОБРАЗОВАНИЯ </w:t>
      </w:r>
      <w:r w:rsidRPr="00067447">
        <w:rPr>
          <w:rFonts w:ascii="Times New Roman" w:eastAsia="Liberation Mono" w:hAnsi="Times New Roman" w:cs="Liberation Mono"/>
          <w:b/>
          <w:sz w:val="28"/>
          <w:szCs w:val="28"/>
          <w:lang w:eastAsia="zh-CN" w:bidi="hi-IN"/>
        </w:rPr>
        <w:t>____________________________________________________________________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 w:rsidR="00AC4E31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</w:t>
      </w:r>
      <w:r w:rsidR="00AC4E31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bookmarkStart w:id="2" w:name="_GoBack"/>
      <w:bookmarkEnd w:id="2"/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ЗЕМЕЛЬНЫХ УЧАСТКАХ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907"/>
        <w:gridCol w:w="992"/>
        <w:gridCol w:w="851"/>
        <w:gridCol w:w="1275"/>
        <w:gridCol w:w="1276"/>
        <w:gridCol w:w="992"/>
        <w:gridCol w:w="993"/>
        <w:gridCol w:w="567"/>
        <w:gridCol w:w="1134"/>
        <w:gridCol w:w="425"/>
      </w:tblGrid>
      <w:tr w:rsidR="00067447" w:rsidRPr="00067447" w:rsidTr="00A92F0B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9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Наименование з/у,</w:t>
            </w:r>
            <w:r w:rsidRPr="00067447"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  <w:t xml:space="preserve">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адрес (местоположение) земельного участка (с указанием кода Общероссийского классификатора территорий муниципальных образований (далее - ОКТМО)</w:t>
            </w:r>
            <w:proofErr w:type="gramEnd"/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Кадастровый номер з/у 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(с датой присвоения)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о правообладателе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(ИНН, КПП, ОГРН, адрес местонахождения и адрес регистрации)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правообладателю принадлежит з/у (с указанием реквизитов, даты возникновения права)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основных характеристиках з/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у(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площадь, категория, вид разрешённого использования)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з/у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произведенном улучшении з/у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установлении в отношении з/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ограничениях (обременениях)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(вид ограничений (обременений), основание и дата их возникновения и прекращения)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 (обременения (наименование, ИНН, КПП, ОГРН, ОКТМО)</w:t>
            </w:r>
            <w:proofErr w:type="gramEnd"/>
          </w:p>
        </w:tc>
        <w:tc>
          <w:tcPr>
            <w:tcW w:w="4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 w:rsidR="008118C9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ЗДАНИЯХ, СООРУЖЕНИЯХ, ОБЪЕКТАХ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НЕЗАВЕРШЕННОГО СТРОИТЕЛЬСТВА,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ЕДИНЫХ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НЕДВИЖИМЫХ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КОМПЛЕКСАХ И ИНЫХ ОБЪЕКТОВ, ОТНЕСЕННЫХ ЗАКОНОМ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НЕДВИЖИМОСТИ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015"/>
        <w:gridCol w:w="992"/>
        <w:gridCol w:w="851"/>
        <w:gridCol w:w="850"/>
        <w:gridCol w:w="992"/>
        <w:gridCol w:w="1276"/>
        <w:gridCol w:w="1276"/>
        <w:gridCol w:w="992"/>
        <w:gridCol w:w="851"/>
      </w:tblGrid>
      <w:tr w:rsidR="00067447" w:rsidRPr="00067447" w:rsidTr="00A92F0B">
        <w:tc>
          <w:tcPr>
            <w:tcW w:w="40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015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Вид, наименов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ание, назначение  и адрес (местоположение с указанием ОКТМО) объекта учета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Кадастровый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номер объекта учета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Сведениыя о з/у, 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на котором расположен объект учета (кадастровый номер, форма собственности, площадь), сведения о правообладателе</w:t>
            </w:r>
            <w:proofErr w:type="gramEnd"/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Вид вещного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права, на основании которого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об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основных характеристиках объекта учета (тип объекта — жилое либо нежилое), площадь, протяженность, этажность (подземная этажность), инвентарный номер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 стоимости 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объекта учета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Свеления об изменениях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объекта учета  (произведенных достройках, капитальном ремонте, реконструкции, модернизации, сносе). Сведения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об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объекте единого недвижимого комплекса, в т.ч., сведения о зданиях, сооружениях, иных вещах, являющихся составляющими единого недвижимого комплекса, сведения о з/у, на котором расположено здание, сооружение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Иные сведени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я</w:t>
            </w:r>
          </w:p>
        </w:tc>
      </w:tr>
      <w:tr w:rsidR="00067447" w:rsidRPr="00067447" w:rsidTr="00A92F0B">
        <w:tc>
          <w:tcPr>
            <w:tcW w:w="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40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ПОМЕЩЕНИЯХ,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МАШИННО-МЕСТАХ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 ИНЫХ ОБЪЕКТОВ, ОТНЕСЕННЫХ ЗАКОНОМ К НЕДВИЖИМОСТИ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"/>
        <w:gridCol w:w="799"/>
        <w:gridCol w:w="992"/>
        <w:gridCol w:w="851"/>
        <w:gridCol w:w="850"/>
        <w:gridCol w:w="992"/>
        <w:gridCol w:w="1276"/>
        <w:gridCol w:w="1276"/>
        <w:gridCol w:w="992"/>
        <w:gridCol w:w="567"/>
      </w:tblGrid>
      <w:tr w:rsidR="00067447" w:rsidRPr="00067447" w:rsidTr="00A92F0B">
        <w:tc>
          <w:tcPr>
            <w:tcW w:w="6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7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Вид, наименование,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назначение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, адрес (местоположение) объекта учета (ОКТМО)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основных характеристиках  объекта (тип, площадь, этажность), инвентарный номер объекта учета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объекта учета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изменениях объекта учета  (произведенных достройках, капитальном ремонте, реконструкции, модернизации, сносе)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.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ведения об ограничениях (обременениях) с указанием вида ограничений (обременений), основания и даты их возникновен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ия и прекращения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РАЗДЕЛ 2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МУНИЦИПАЛЬНОМ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ДВИЖИМОМ И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ИНОМ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ИМУЩЕСТВЕ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2.1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ОБ АКЦИЯХ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685"/>
        <w:gridCol w:w="1276"/>
        <w:gridCol w:w="992"/>
        <w:gridCol w:w="1843"/>
        <w:gridCol w:w="1418"/>
        <w:gridCol w:w="1701"/>
      </w:tblGrid>
      <w:tr w:rsidR="00067447" w:rsidRPr="00067447" w:rsidTr="00A92F0B">
        <w:tc>
          <w:tcPr>
            <w:tcW w:w="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6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акционерном обществе (эмитенте)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акциях (кол-во, регистрационные номера выпусков, номинальная стоимость, вид акций (обыкновенных или привилегированные)</w:t>
            </w:r>
            <w:proofErr w:type="gramEnd"/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Сведение о правообладателе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прекращения), сведения о лице, в пользу которого установлены ограничения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4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ahoma" w:hAnsi="Calibri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4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ДОЛЯХ (ВКЛАДАХ)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В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УСТАВНЫХ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(СКЛАДОЧНЫХ)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КАПИТАЛАХ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ХОЗЯЙСТВЕННЫХ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765"/>
        <w:gridCol w:w="992"/>
        <w:gridCol w:w="1134"/>
        <w:gridCol w:w="1134"/>
        <w:gridCol w:w="1560"/>
        <w:gridCol w:w="1417"/>
        <w:gridCol w:w="992"/>
      </w:tblGrid>
      <w:tr w:rsidR="00067447" w:rsidRPr="00067447" w:rsidTr="00A92F0B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7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хозяйст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венном обществе (товариществе)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 xml:space="preserve">Доля (вклад) в уставном 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(складочном)  капитале хозяйственного общества, товарищества в процентах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Сведения о правообладателе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основании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которого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 правообладателю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принадлежит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объект учета (реквизиты)</w:t>
            </w:r>
          </w:p>
        </w:tc>
        <w:tc>
          <w:tcPr>
            <w:tcW w:w="15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b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b/>
                <w:sz w:val="20"/>
                <w:szCs w:val="20"/>
                <w:lang w:eastAsia="zh-CN" w:bidi="hi-IN"/>
              </w:rPr>
              <w:lastRenderedPageBreak/>
              <w:t xml:space="preserve">Сведения об установленных ограничениях </w:t>
            </w:r>
            <w:r w:rsidRPr="00067447">
              <w:rPr>
                <w:rFonts w:ascii="Liberation Serif" w:eastAsia="Tahoma" w:hAnsi="Liberation Serif" w:cs="Droid Sans Devanagari"/>
                <w:b/>
                <w:sz w:val="20"/>
                <w:szCs w:val="20"/>
                <w:lang w:eastAsia="zh-CN" w:bidi="hi-IN"/>
              </w:rPr>
              <w:lastRenderedPageBreak/>
              <w:t>(обременениях) (вид, основание и дата их возникновения и прекращения)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 лице, в пользу которого 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установлены ограничения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Иные сведения</w:t>
            </w: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lastRenderedPageBreak/>
        <w:t>ПОДРАЗДЕЛ 2.3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ДВИЖИМОМ ИМУЩЕСТВЕИ ИНОМ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ИМУЩЕСТВЕ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, ЗА ИСКЛЮЧЕНИЕМ АКЦИЙ И ДОЛЕЙ (ВКЛАДОВ)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В УСТАВНЫХ (СКЛАДОЧНЫХ) КАПИТАЛАХ ХОЗЯЙСТВЕННЫХ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907"/>
        <w:gridCol w:w="992"/>
        <w:gridCol w:w="992"/>
        <w:gridCol w:w="1418"/>
        <w:gridCol w:w="1417"/>
        <w:gridCol w:w="1418"/>
        <w:gridCol w:w="850"/>
      </w:tblGrid>
      <w:tr w:rsidR="00067447" w:rsidRPr="00067447" w:rsidTr="00A92F0B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9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Наименование движимого имущества (иного имущества)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которого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 правообладателю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принадлежит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объект учета (реквизиты)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прекращения), 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0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color w:val="FF0000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2.4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ДОЛЯХ В ПРАВЕ ОБЩЕЙ ДОЛЕВОЙ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СОБСТВЕННОСТИ НА ОБЪЕКТЫ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НЕДВИЖИМОГО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И (ИЛИ)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ДВИЖИМОГО ИМУЩЕСТВА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561"/>
        <w:gridCol w:w="851"/>
        <w:gridCol w:w="1276"/>
        <w:gridCol w:w="850"/>
        <w:gridCol w:w="851"/>
        <w:gridCol w:w="992"/>
        <w:gridCol w:w="850"/>
        <w:gridCol w:w="709"/>
        <w:gridCol w:w="992"/>
      </w:tblGrid>
      <w:tr w:rsidR="00067447" w:rsidRPr="00067447" w:rsidTr="00A92F0B">
        <w:tc>
          <w:tcPr>
            <w:tcW w:w="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56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Размер доли в прав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е общей долевой собственности на объекты недвижимого и (или) движимого имущества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Сведения о стоимости доли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участниках общей долевой собственност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и (наименование юр. Лиц, организационно-правовая форма, или ФИО физ. Лица, адрес, ИНН.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КПП, ОГРН, адрес с указанием кода ОКТМО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Сведения о правообладателе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ии которого 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об объектах недвижимого и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(или) движимого имущества, находящихся в общей долевой собственности (наименование и кадастровый номер)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Сведения об установленных огранич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 xml:space="preserve">ениях (обременениях) (вид, основание и дата их возникновения и прекращения)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го установлены ограничения (обременения)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  <w:lastRenderedPageBreak/>
              <w:t>Иные сведения</w:t>
            </w:r>
          </w:p>
        </w:tc>
      </w:tr>
      <w:tr w:rsidR="00067447" w:rsidRPr="00067447" w:rsidTr="00A92F0B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  <w:t xml:space="preserve">РАЗДЕЛ 3 </w:t>
      </w:r>
      <w:r w:rsidRPr="0006744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СВЕДЕНИЯ О ЛИЦАХ, ОБЛАДАЮЩИХ ПРАВАМИ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НА МУНИЦИПАЛЬНОЕ ИМУЩЕСТВО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128"/>
        <w:gridCol w:w="1843"/>
        <w:gridCol w:w="2410"/>
        <w:gridCol w:w="1417"/>
      </w:tblGrid>
      <w:tr w:rsidR="00067447" w:rsidRPr="00067447" w:rsidTr="00A92F0B">
        <w:tc>
          <w:tcPr>
            <w:tcW w:w="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1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правообладателях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A92F0B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A92F0B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5E6B65" w:rsidRDefault="00067447" w:rsidP="005E6B65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sectPr w:rsidR="00067447" w:rsidRPr="005E6B65" w:rsidSect="005E6B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7846"/>
    <w:multiLevelType w:val="multilevel"/>
    <w:tmpl w:val="B590E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6D"/>
    <w:rsid w:val="00002FBF"/>
    <w:rsid w:val="00027E90"/>
    <w:rsid w:val="00067447"/>
    <w:rsid w:val="00091A11"/>
    <w:rsid w:val="000C406F"/>
    <w:rsid w:val="000F5242"/>
    <w:rsid w:val="001F0012"/>
    <w:rsid w:val="0021082C"/>
    <w:rsid w:val="00255A6F"/>
    <w:rsid w:val="002C27E7"/>
    <w:rsid w:val="00496DF8"/>
    <w:rsid w:val="004A5987"/>
    <w:rsid w:val="004C6448"/>
    <w:rsid w:val="0050438B"/>
    <w:rsid w:val="005363AE"/>
    <w:rsid w:val="00593C6A"/>
    <w:rsid w:val="005A7141"/>
    <w:rsid w:val="005E6B65"/>
    <w:rsid w:val="00702261"/>
    <w:rsid w:val="00715F6D"/>
    <w:rsid w:val="007476C8"/>
    <w:rsid w:val="00780AAE"/>
    <w:rsid w:val="007D12BE"/>
    <w:rsid w:val="008118C9"/>
    <w:rsid w:val="00855A0D"/>
    <w:rsid w:val="008B1508"/>
    <w:rsid w:val="008C1022"/>
    <w:rsid w:val="00AC4E31"/>
    <w:rsid w:val="00AD3812"/>
    <w:rsid w:val="00B34C5C"/>
    <w:rsid w:val="00B60BBA"/>
    <w:rsid w:val="00B80FE0"/>
    <w:rsid w:val="00C1577C"/>
    <w:rsid w:val="00C646CA"/>
    <w:rsid w:val="00C9421E"/>
    <w:rsid w:val="00CE7B26"/>
    <w:rsid w:val="00EB2460"/>
    <w:rsid w:val="00F017E0"/>
    <w:rsid w:val="00F418C1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15F6D"/>
  </w:style>
  <w:style w:type="paragraph" w:customStyle="1" w:styleId="listparagraph">
    <w:name w:val="listparagraph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0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B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B2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F5242"/>
    <w:pPr>
      <w:spacing w:after="0" w:line="240" w:lineRule="auto"/>
    </w:pPr>
  </w:style>
  <w:style w:type="paragraph" w:customStyle="1" w:styleId="ConsPlusNormal0">
    <w:name w:val="ConsPlusNormal"/>
    <w:rsid w:val="000F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5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15F6D"/>
  </w:style>
  <w:style w:type="paragraph" w:customStyle="1" w:styleId="listparagraph">
    <w:name w:val="listparagraph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0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B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B2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F5242"/>
    <w:pPr>
      <w:spacing w:after="0" w:line="240" w:lineRule="auto"/>
    </w:pPr>
  </w:style>
  <w:style w:type="paragraph" w:customStyle="1" w:styleId="ConsPlusNormal0">
    <w:name w:val="ConsPlusNormal"/>
    <w:rsid w:val="000F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5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582E-F867-43B6-916B-AE51D633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2024-04-04T04:56:00Z</cp:lastPrinted>
  <dcterms:created xsi:type="dcterms:W3CDTF">2024-04-04T03:31:00Z</dcterms:created>
  <dcterms:modified xsi:type="dcterms:W3CDTF">2024-04-04T05:07:00Z</dcterms:modified>
</cp:coreProperties>
</file>